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utoSpaceDE w:val="0"/>
        <w:autoSpaceDN w:val="0"/>
        <w:adjustRightInd w:val="0"/>
        <w:snapToGrid w:val="0"/>
        <w:spacing w:line="560" w:lineRule="exact"/>
        <w:ind w:left="0" w:firstLine="641"/>
        <w:jc w:val="left"/>
        <w:rPr>
          <w:rFonts w:ascii="Times New Roman" w:hAnsi="Times New Roman" w:eastAsia="宋体" w:cs="Times New Roman"/>
          <w:color w:val="000007"/>
          <w:sz w:val="24"/>
          <w:szCs w:val="24"/>
        </w:rPr>
      </w:pPr>
      <w:r>
        <w:rPr>
          <w:rFonts w:ascii="Times New Roman" w:hAnsi="Times New Roman" w:eastAsia="宋体" w:cs="Times New Roman"/>
          <w:color w:val="000007"/>
          <w:sz w:val="24"/>
          <w:szCs w:val="24"/>
        </w:rPr>
        <w:t>各实践项目需按照模板要求提交1篇实践宣传稿件，每篇稿件字数为600至800字左右，须包含精选高清实践照片两张，其中有一张需含全员的合影照片。校团委社会实践部将择优将宣传稿件摘录至本年度暑期社会实践成果集。格式以下文案例为准（可直接在模板上修改）。</w:t>
      </w:r>
    </w:p>
    <w:p>
      <w:pPr>
        <w:pStyle w:val="2"/>
        <w:autoSpaceDE w:val="0"/>
        <w:autoSpaceDN w:val="0"/>
        <w:adjustRightInd w:val="0"/>
        <w:snapToGrid w:val="0"/>
        <w:spacing w:line="560" w:lineRule="exact"/>
        <w:ind w:left="0" w:firstLine="641"/>
        <w:jc w:val="left"/>
        <w:rPr>
          <w:rFonts w:ascii="Times New Roman" w:hAnsi="Times New Roman" w:eastAsia="宋体" w:cs="Times New Roman"/>
          <w:b/>
          <w:bCs/>
          <w:sz w:val="24"/>
          <w:szCs w:val="24"/>
        </w:rPr>
        <w:sectPr>
          <w:pgSz w:w="11906" w:h="16838"/>
          <w:pgMar w:top="1440" w:right="1800" w:bottom="1440" w:left="1800" w:header="851" w:footer="992" w:gutter="0"/>
          <w:cols w:space="425" w:num="1"/>
          <w:docGrid w:type="lines" w:linePitch="312" w:charSpace="0"/>
        </w:sectPr>
      </w:pPr>
      <w:r>
        <w:rPr>
          <w:rFonts w:ascii="Times New Roman" w:hAnsi="Times New Roman" w:eastAsia="宋体" w:cs="Times New Roman"/>
          <w:color w:val="000007"/>
          <w:sz w:val="24"/>
          <w:szCs w:val="24"/>
        </w:rPr>
        <w:t>将</w:t>
      </w:r>
      <w:r>
        <w:rPr>
          <w:rFonts w:hint="eastAsia" w:ascii="Times New Roman" w:hAnsi="Times New Roman" w:eastAsia="宋体" w:cs="Times New Roman"/>
          <w:color w:val="000007"/>
          <w:sz w:val="24"/>
          <w:szCs w:val="24"/>
        </w:rPr>
        <w:t>W</w:t>
      </w:r>
      <w:r>
        <w:rPr>
          <w:rFonts w:ascii="Times New Roman" w:hAnsi="Times New Roman" w:eastAsia="宋体" w:cs="Times New Roman"/>
          <w:color w:val="000007"/>
          <w:sz w:val="24"/>
          <w:szCs w:val="24"/>
        </w:rPr>
        <w:t>ord文件命名为“</w:t>
      </w:r>
      <w:r>
        <w:rPr>
          <w:rFonts w:ascii="Times New Roman" w:hAnsi="Times New Roman" w:eastAsia="宋体" w:cs="Times New Roman"/>
          <w:b/>
          <w:bCs/>
          <w:color w:val="FF0000"/>
          <w:sz w:val="24"/>
          <w:szCs w:val="24"/>
        </w:rPr>
        <w:t>3.</w:t>
      </w:r>
      <w:r>
        <w:rPr>
          <w:rFonts w:hint="eastAsia" w:ascii="Times New Roman" w:hAnsi="Times New Roman" w:eastAsia="宋体" w:cs="Times New Roman"/>
          <w:b/>
          <w:bCs/>
          <w:color w:val="FF0000"/>
          <w:sz w:val="24"/>
          <w:szCs w:val="24"/>
          <w:lang w:eastAsia="zh-CN"/>
        </w:rPr>
        <w:t>项目所在学院</w:t>
      </w:r>
      <w:r>
        <w:rPr>
          <w:rFonts w:ascii="Times New Roman" w:hAnsi="Times New Roman" w:eastAsia="宋体" w:cs="Times New Roman"/>
          <w:b/>
          <w:bCs/>
          <w:color w:val="FF0000"/>
          <w:sz w:val="24"/>
          <w:szCs w:val="24"/>
        </w:rPr>
        <w:t>+</w:t>
      </w:r>
      <w:r>
        <w:rPr>
          <w:rFonts w:hint="eastAsia" w:ascii="Times New Roman" w:hAnsi="Times New Roman" w:eastAsia="宋体" w:cs="Times New Roman"/>
          <w:b/>
          <w:bCs/>
          <w:color w:val="FF0000"/>
          <w:sz w:val="24"/>
          <w:szCs w:val="24"/>
          <w:lang w:eastAsia="zh-CN"/>
        </w:rPr>
        <w:t>小队</w:t>
      </w:r>
      <w:bookmarkStart w:id="0" w:name="_GoBack"/>
      <w:bookmarkEnd w:id="0"/>
      <w:r>
        <w:rPr>
          <w:rFonts w:ascii="Times New Roman" w:hAnsi="Times New Roman" w:eastAsia="宋体" w:cs="Times New Roman"/>
          <w:b/>
          <w:bCs/>
          <w:color w:val="FF0000"/>
          <w:sz w:val="24"/>
          <w:szCs w:val="24"/>
        </w:rPr>
        <w:t>负责人姓名+联系方式+新闻稿”</w:t>
      </w:r>
      <w:r>
        <w:rPr>
          <w:rFonts w:ascii="Times New Roman" w:hAnsi="Times New Roman" w:eastAsia="宋体" w:cs="Times New Roman"/>
          <w:b/>
          <w:bCs/>
          <w:sz w:val="24"/>
          <w:szCs w:val="24"/>
        </w:rPr>
        <w:t>。</w:t>
      </w:r>
    </w:p>
    <w:p>
      <w:pPr>
        <w:jc w:val="center"/>
        <w:rPr>
          <w:rFonts w:ascii="黑体" w:hAnsi="黑体" w:eastAsia="黑体"/>
          <w:b/>
          <w:bCs/>
          <w:sz w:val="44"/>
          <w:szCs w:val="44"/>
        </w:rPr>
      </w:pPr>
      <w:r>
        <w:rPr>
          <w:rFonts w:ascii="黑体" w:hAnsi="黑体" w:eastAsia="黑体"/>
          <w:b/>
          <w:bCs/>
          <w:sz w:val="44"/>
          <w:szCs w:val="44"/>
        </w:rPr>
        <w:t>观浙里繁荣，延良渚遗风</w:t>
      </w:r>
    </w:p>
    <w:p>
      <w:pPr>
        <w:spacing w:line="360" w:lineRule="exact"/>
        <w:ind w:firstLine="480" w:firstLineChars="200"/>
        <w:jc w:val="center"/>
        <w:rPr>
          <w:rFonts w:hint="eastAsia" w:ascii="华文楷体" w:hAnsi="华文楷体" w:eastAsia="华文楷体"/>
          <w:sz w:val="24"/>
        </w:rPr>
      </w:pPr>
      <w:r>
        <w:rPr>
          <w:rFonts w:hint="eastAsia" w:ascii="华文楷体" w:hAnsi="华文楷体" w:eastAsia="华文楷体"/>
          <w:sz w:val="24"/>
        </w:rPr>
        <w:t>文思懿 徐良嗣 王璐瑶 陈郑雨 姜</w:t>
      </w:r>
      <w:r>
        <w:rPr>
          <w:rFonts w:ascii="华文楷体" w:hAnsi="华文楷体" w:eastAsia="华文楷体"/>
          <w:sz w:val="24"/>
        </w:rPr>
        <w:t>燚萍</w:t>
      </w:r>
      <w:r>
        <w:rPr>
          <w:rFonts w:hint="eastAsia" w:ascii="华文楷体" w:hAnsi="华文楷体" w:eastAsia="华文楷体"/>
          <w:sz w:val="24"/>
        </w:rPr>
        <w:t xml:space="preserve"> 王一博 陆永</w:t>
      </w:r>
      <w:r>
        <w:rPr>
          <w:rFonts w:ascii="华文楷体" w:hAnsi="华文楷体" w:eastAsia="华文楷体"/>
          <w:sz w:val="24"/>
        </w:rPr>
        <w:t>桢</w:t>
      </w:r>
    </w:p>
    <w:p>
      <w:pPr>
        <w:ind w:firstLine="420" w:firstLineChars="200"/>
      </w:pPr>
    </w:p>
    <w:p>
      <w:pPr>
        <w:ind w:firstLine="420" w:firstLineChars="200"/>
        <w:rPr>
          <w:rFonts w:hint="eastAsia"/>
        </w:rPr>
        <w:sectPr>
          <w:pgSz w:w="11906" w:h="16838"/>
          <w:pgMar w:top="1440" w:right="1800" w:bottom="1440" w:left="1800" w:header="851" w:footer="992" w:gutter="0"/>
          <w:cols w:space="425" w:num="1"/>
          <w:docGrid w:type="lines" w:linePitch="312" w:charSpace="0"/>
        </w:sectPr>
      </w:pPr>
    </w:p>
    <w:p>
      <w:pPr>
        <w:spacing w:line="360" w:lineRule="exact"/>
        <w:ind w:firstLine="480" w:firstLineChars="200"/>
        <w:jc w:val="left"/>
        <w:rPr>
          <w:sz w:val="24"/>
        </w:rPr>
      </w:pPr>
      <w:r>
        <w:rPr>
          <w:rFonts w:hint="eastAsia"/>
          <w:sz w:val="24"/>
        </w:rPr>
        <w:t>7月2</w:t>
      </w:r>
      <w:r>
        <w:rPr>
          <w:sz w:val="24"/>
        </w:rPr>
        <w:t>3</w:t>
      </w:r>
      <w:r>
        <w:rPr>
          <w:rFonts w:hint="eastAsia"/>
          <w:sz w:val="24"/>
        </w:rPr>
        <w:t>日至7月2</w:t>
      </w:r>
      <w:r>
        <w:rPr>
          <w:sz w:val="24"/>
        </w:rPr>
        <w:t>7</w:t>
      </w:r>
      <w:r>
        <w:rPr>
          <w:rFonts w:hint="eastAsia"/>
          <w:sz w:val="24"/>
        </w:rPr>
        <w:t>日，中国农业大学“</w:t>
      </w:r>
      <w:r>
        <w:rPr>
          <w:sz w:val="24"/>
        </w:rPr>
        <w:t>观浙里繁荣，延良渚遗风”</w:t>
      </w:r>
      <w:r>
        <w:rPr>
          <w:rFonts w:hint="eastAsia"/>
          <w:sz w:val="24"/>
        </w:rPr>
        <w:t>暑期社会实践</w:t>
      </w:r>
      <w:r>
        <w:rPr>
          <w:sz w:val="24"/>
        </w:rPr>
        <w:t>小队</w:t>
      </w:r>
      <w:r>
        <w:rPr>
          <w:rFonts w:hint="eastAsia"/>
          <w:sz w:val="24"/>
        </w:rPr>
        <w:t>在杭州市余杭区开展了为期五天的社会实践。</w:t>
      </w:r>
    </w:p>
    <w:p>
      <w:pPr>
        <w:spacing w:line="360" w:lineRule="exact"/>
        <w:ind w:firstLine="480" w:firstLineChars="200"/>
        <w:jc w:val="left"/>
        <w:rPr>
          <w:sz w:val="24"/>
        </w:rPr>
      </w:pPr>
      <w:r>
        <w:rPr>
          <w:rFonts w:hint="eastAsia"/>
          <w:sz w:val="24"/>
        </w:rPr>
        <w:t>为了深入学习</w:t>
      </w:r>
      <w:r>
        <w:rPr>
          <w:sz w:val="24"/>
        </w:rPr>
        <w:t>良渚文化的考古成果、遗产价值</w:t>
      </w:r>
      <w:r>
        <w:rPr>
          <w:rFonts w:hint="eastAsia"/>
          <w:sz w:val="24"/>
        </w:rPr>
        <w:t>，</w:t>
      </w:r>
      <w:r>
        <w:rPr>
          <w:sz w:val="24"/>
        </w:rPr>
        <w:t>小队</w:t>
      </w:r>
      <w:r>
        <w:rPr>
          <w:rFonts w:hint="eastAsia"/>
          <w:sz w:val="24"/>
        </w:rPr>
        <w:t>前往了良渚博物院、良渚遗址公园和老虎岭遗址公园进行了实地研习。</w:t>
      </w:r>
    </w:p>
    <w:p>
      <w:pPr>
        <w:spacing w:line="360" w:lineRule="exact"/>
        <w:ind w:firstLine="480" w:firstLineChars="200"/>
        <w:jc w:val="left"/>
        <w:rPr>
          <w:sz w:val="24"/>
        </w:rPr>
      </w:pPr>
      <w:r>
        <w:rPr>
          <w:sz w:val="24"/>
        </w:rPr>
        <w:drawing>
          <wp:anchor distT="0" distB="0" distL="114300" distR="114300" simplePos="0" relativeHeight="251659264" behindDoc="1" locked="0" layoutInCell="1" allowOverlap="1">
            <wp:simplePos x="0" y="0"/>
            <wp:positionH relativeFrom="margin">
              <wp:posOffset>-7620</wp:posOffset>
            </wp:positionH>
            <wp:positionV relativeFrom="paragraph">
              <wp:posOffset>161290</wp:posOffset>
            </wp:positionV>
            <wp:extent cx="2492375" cy="1596390"/>
            <wp:effectExtent l="0" t="0" r="3175" b="3810"/>
            <wp:wrapTight wrapText="bothSides">
              <wp:wrapPolygon>
                <wp:start x="1156" y="0"/>
                <wp:lineTo x="0" y="1289"/>
                <wp:lineTo x="0" y="19332"/>
                <wp:lineTo x="330" y="20621"/>
                <wp:lineTo x="1156" y="21394"/>
                <wp:lineTo x="20472" y="21394"/>
                <wp:lineTo x="21132" y="20621"/>
                <wp:lineTo x="21462" y="19589"/>
                <wp:lineTo x="21462" y="1289"/>
                <wp:lineTo x="20307" y="0"/>
                <wp:lineTo x="1156"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492375" cy="1596390"/>
                    </a:xfrm>
                    <a:prstGeom prst="roundRect">
                      <a:avLst/>
                    </a:prstGeom>
                  </pic:spPr>
                </pic:pic>
              </a:graphicData>
            </a:graphic>
          </wp:anchor>
        </w:drawing>
      </w:r>
      <w:r>
        <w:rPr>
          <w:rFonts w:hint="eastAsia"/>
          <w:sz w:val="24"/>
        </w:rPr>
        <w:t>良渚博物院志愿者王雪松带领小队成员参观了展厅并进行讲解。从“水乡泽国”到“文明圣地”再到“玉魂国魄”，小队追寻着</w:t>
      </w:r>
      <w:r>
        <w:rPr>
          <w:sz w:val="24"/>
        </w:rPr>
        <w:t>良渚先民们开辟沃野，种植水稻，养殖家畜</w:t>
      </w:r>
      <w:r>
        <w:rPr>
          <w:rFonts w:hint="eastAsia"/>
          <w:sz w:val="24"/>
        </w:rPr>
        <w:t>的身影，惊叹着</w:t>
      </w:r>
      <w:r>
        <w:rPr>
          <w:sz w:val="24"/>
        </w:rPr>
        <w:t>制陶</w:t>
      </w:r>
      <w:r>
        <w:rPr>
          <w:rFonts w:hint="eastAsia"/>
          <w:sz w:val="24"/>
        </w:rPr>
        <w:t>、</w:t>
      </w:r>
      <w:r>
        <w:rPr>
          <w:sz w:val="24"/>
        </w:rPr>
        <w:t>纺织</w:t>
      </w:r>
      <w:r>
        <w:rPr>
          <w:rFonts w:hint="eastAsia"/>
          <w:sz w:val="24"/>
        </w:rPr>
        <w:t>、</w:t>
      </w:r>
      <w:r>
        <w:rPr>
          <w:sz w:val="24"/>
        </w:rPr>
        <w:t>治石</w:t>
      </w:r>
      <w:r>
        <w:rPr>
          <w:rFonts w:hint="eastAsia"/>
          <w:sz w:val="24"/>
        </w:rPr>
        <w:t>、</w:t>
      </w:r>
      <w:r>
        <w:rPr>
          <w:sz w:val="24"/>
        </w:rPr>
        <w:t>琢玉</w:t>
      </w:r>
      <w:r>
        <w:rPr>
          <w:rFonts w:hint="eastAsia"/>
          <w:sz w:val="24"/>
        </w:rPr>
        <w:t>等</w:t>
      </w:r>
      <w:r>
        <w:rPr>
          <w:sz w:val="24"/>
        </w:rPr>
        <w:t>手工业</w:t>
      </w:r>
      <w:r>
        <w:rPr>
          <w:rFonts w:hint="eastAsia"/>
          <w:sz w:val="24"/>
        </w:rPr>
        <w:t>的高度</w:t>
      </w:r>
      <w:r>
        <w:rPr>
          <w:sz w:val="24"/>
        </w:rPr>
        <w:t>发展。</w:t>
      </w:r>
      <w:r>
        <w:rPr>
          <w:rFonts w:hint="eastAsia"/>
          <w:sz w:val="24"/>
        </w:rPr>
        <w:t>在良渚遗址管理区委员会李力行的带领下，小队去往了良渚遗址公园和老虎岭遗址公园，实地 感受了</w:t>
      </w:r>
      <w:r>
        <w:rPr>
          <w:sz w:val="24"/>
        </w:rPr>
        <w:t>良渚王国作为一个文化族群</w:t>
      </w:r>
      <w:r>
        <w:rPr>
          <w:rFonts w:hint="eastAsia"/>
          <w:sz w:val="24"/>
        </w:rPr>
        <w:t>，遗留给后世的不灭的精神财富。其</w:t>
      </w:r>
      <w:r>
        <w:rPr>
          <w:sz w:val="24"/>
        </w:rPr>
        <w:t>稻作农业的生产方式</w:t>
      </w:r>
      <w:r>
        <w:rPr>
          <w:rFonts w:hint="eastAsia"/>
          <w:sz w:val="24"/>
        </w:rPr>
        <w:t>，</w:t>
      </w:r>
      <w:r>
        <w:rPr>
          <w:sz w:val="24"/>
        </w:rPr>
        <w:t>江南水乡的生活方式</w:t>
      </w:r>
      <w:r>
        <w:rPr>
          <w:rFonts w:hint="eastAsia"/>
          <w:sz w:val="24"/>
        </w:rPr>
        <w:t>，</w:t>
      </w:r>
      <w:r>
        <w:rPr>
          <w:sz w:val="24"/>
        </w:rPr>
        <w:t>环绕中心的城市规划</w:t>
      </w:r>
      <w:r>
        <w:rPr>
          <w:rFonts w:hint="eastAsia"/>
          <w:sz w:val="24"/>
        </w:rPr>
        <w:t>，良渚先民勇敢、创造、和谐的精神品质，浸润着中华民族的文化血脉，一直传承至今。成员们也终于对“玉琮，是中华民族五千多年文明的实物例证；良渚，是实证中华民族五千多年文明史的圣地”这一句高度凝练的话有了更透彻的理解与更深刻的感悟。</w:t>
      </w:r>
    </w:p>
    <w:p>
      <w:pPr>
        <w:spacing w:line="360" w:lineRule="exact"/>
        <w:ind w:firstLine="480" w:firstLineChars="200"/>
        <w:jc w:val="left"/>
        <w:rPr>
          <w:color w:val="000000" w:themeColor="text1"/>
          <w:sz w:val="24"/>
          <w14:textFill>
            <w14:solidFill>
              <w14:schemeClr w14:val="tx1"/>
            </w14:solidFill>
          </w14:textFill>
        </w:rPr>
      </w:pPr>
      <w:r>
        <w:rPr>
          <w:rFonts w:hint="eastAsia"/>
          <w:sz w:val="24"/>
        </w:rPr>
        <w:t>除了实地研习外，小队还访谈了良渚文化志愿者杜丽云、良渚文化志愿者总队队长梁中平、良渚古城遗址发现者刘斌教授、良渚博物院副院长黄莉，更加深入了解了</w:t>
      </w:r>
      <w:r>
        <w:rPr>
          <w:rFonts w:hint="eastAsia"/>
          <w:color w:val="000000" w:themeColor="text1"/>
          <w:sz w:val="24"/>
          <w14:textFill>
            <w14:solidFill>
              <w14:schemeClr w14:val="tx1"/>
            </w14:solidFill>
          </w14:textFill>
        </w:rPr>
        <w:t>良渚文化的内涵与意义，也深切地体会到了保护与传承良渚文化的任重道远。</w:t>
      </w:r>
    </w:p>
    <w:p>
      <w:pPr>
        <w:spacing w:line="360" w:lineRule="exact"/>
        <w:ind w:firstLine="480" w:firstLineChars="200"/>
        <w:jc w:val="left"/>
        <w:rPr>
          <w:color w:val="000000" w:themeColor="text1"/>
          <w:sz w:val="24"/>
          <w14:textFill>
            <w14:solidFill>
              <w14:schemeClr w14:val="tx1"/>
            </w14:solidFill>
          </w14:textFill>
        </w:rPr>
      </w:pPr>
      <w:r>
        <w:rPr>
          <w:rFonts w:hint="eastAsia"/>
          <w:sz w:val="24"/>
        </w:rPr>
        <w:t>实践的最后一天，</w:t>
      </w:r>
      <w:r>
        <w:rPr>
          <w:sz w:val="24"/>
        </w:rPr>
        <w:t>小队去往良渚街道新港村村委会参加“观浙里繁荣 延良渚遗风 话未来共富 ”的主题座谈会。</w:t>
      </w:r>
    </w:p>
    <w:p>
      <w:pPr>
        <w:spacing w:line="360" w:lineRule="exact"/>
        <w:ind w:firstLine="480" w:firstLineChars="200"/>
        <w:jc w:val="left"/>
        <w:rPr>
          <w:sz w:val="24"/>
        </w:rPr>
      </w:pPr>
      <w:r>
        <w:rPr>
          <w:sz w:val="24"/>
        </w:rPr>
        <w:drawing>
          <wp:anchor distT="0" distB="0" distL="114300" distR="114300" simplePos="0" relativeHeight="251660288" behindDoc="1" locked="0" layoutInCell="1" allowOverlap="1">
            <wp:simplePos x="0" y="0"/>
            <wp:positionH relativeFrom="margin">
              <wp:posOffset>2759710</wp:posOffset>
            </wp:positionH>
            <wp:positionV relativeFrom="paragraph">
              <wp:posOffset>1729740</wp:posOffset>
            </wp:positionV>
            <wp:extent cx="2508250" cy="1638300"/>
            <wp:effectExtent l="0" t="0" r="6350" b="0"/>
            <wp:wrapTight wrapText="bothSides">
              <wp:wrapPolygon>
                <wp:start x="1312" y="0"/>
                <wp:lineTo x="0" y="1005"/>
                <wp:lineTo x="0" y="20344"/>
                <wp:lineTo x="984" y="21349"/>
                <wp:lineTo x="1148" y="21349"/>
                <wp:lineTo x="20342" y="21349"/>
                <wp:lineTo x="20506" y="21349"/>
                <wp:lineTo x="21491" y="20344"/>
                <wp:lineTo x="21491" y="1256"/>
                <wp:lineTo x="20342" y="0"/>
                <wp:lineTo x="1312"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flipH="1">
                      <a:off x="0" y="0"/>
                      <a:ext cx="2508250" cy="1638300"/>
                    </a:xfrm>
                    <a:prstGeom prst="roundRect">
                      <a:avLst/>
                    </a:prstGeom>
                  </pic:spPr>
                </pic:pic>
              </a:graphicData>
            </a:graphic>
          </wp:anchor>
        </w:drawing>
      </w:r>
      <w:r>
        <w:rPr>
          <w:sz w:val="24"/>
        </w:rPr>
        <w:t>会上，</w:t>
      </w:r>
      <w:r>
        <w:rPr>
          <w:rFonts w:hint="eastAsia"/>
          <w:sz w:val="24"/>
        </w:rPr>
        <w:t>与会人员主要就发展</w:t>
      </w:r>
      <w:r>
        <w:rPr>
          <w:sz w:val="24"/>
        </w:rPr>
        <w:t>多层次乡村旅游业</w:t>
      </w:r>
      <w:r>
        <w:rPr>
          <w:rFonts w:hint="eastAsia"/>
          <w:sz w:val="24"/>
        </w:rPr>
        <w:t>、建立</w:t>
      </w:r>
      <w:r>
        <w:rPr>
          <w:sz w:val="24"/>
        </w:rPr>
        <w:t>长效的精神文化吸引机制</w:t>
      </w:r>
      <w:r>
        <w:rPr>
          <w:rFonts w:hint="eastAsia"/>
          <w:sz w:val="24"/>
        </w:rPr>
        <w:t>、推动落实</w:t>
      </w:r>
      <w:r>
        <w:rPr>
          <w:sz w:val="24"/>
        </w:rPr>
        <w:t>保护</w:t>
      </w:r>
      <w:r>
        <w:rPr>
          <w:rFonts w:hint="eastAsia"/>
          <w:sz w:val="24"/>
        </w:rPr>
        <w:t>型</w:t>
      </w:r>
      <w:r>
        <w:rPr>
          <w:sz w:val="24"/>
        </w:rPr>
        <w:t>发展</w:t>
      </w:r>
      <w:r>
        <w:rPr>
          <w:rFonts w:hint="eastAsia"/>
          <w:sz w:val="24"/>
        </w:rPr>
        <w:t>、应对</w:t>
      </w:r>
      <w:r>
        <w:rPr>
          <w:sz w:val="24"/>
        </w:rPr>
        <w:t>疫情</w:t>
      </w:r>
      <w:r>
        <w:rPr>
          <w:rFonts w:hint="eastAsia"/>
          <w:sz w:val="24"/>
        </w:rPr>
        <w:t>常态化</w:t>
      </w:r>
      <w:r>
        <w:rPr>
          <w:sz w:val="24"/>
        </w:rPr>
        <w:t>等</w:t>
      </w:r>
      <w:r>
        <w:rPr>
          <w:rFonts w:hint="eastAsia"/>
          <w:sz w:val="24"/>
        </w:rPr>
        <w:t>问题进行了交流。</w:t>
      </w:r>
      <w:r>
        <w:rPr>
          <w:sz w:val="24"/>
        </w:rPr>
        <w:t>座谈会圆满结束后，小队成员和一些老村干部、</w:t>
      </w:r>
      <w:r>
        <w:rPr>
          <w:rFonts w:hint="eastAsia"/>
          <w:sz w:val="24"/>
        </w:rPr>
        <w:t>乡贤、</w:t>
      </w:r>
      <w:r>
        <w:rPr>
          <w:sz w:val="24"/>
        </w:rPr>
        <w:t>村庄引进人才去往楼上进行深入交流。</w:t>
      </w:r>
    </w:p>
    <w:p>
      <w:pPr>
        <w:spacing w:line="360" w:lineRule="exact"/>
        <w:ind w:firstLine="480" w:firstLineChars="200"/>
        <w:jc w:val="left"/>
      </w:pPr>
      <w:r>
        <w:rPr>
          <w:rFonts w:hint="eastAsia"/>
          <w:sz w:val="24"/>
        </w:rPr>
        <w:t>正如他们的队名</w:t>
      </w:r>
      <w:r>
        <w:rPr>
          <w:sz w:val="24"/>
        </w:rPr>
        <w:softHyphen/>
      </w:r>
      <w:r>
        <w:rPr>
          <w:sz w:val="24"/>
        </w:rPr>
        <w:t>——</w:t>
      </w:r>
      <w:r>
        <w:rPr>
          <w:rFonts w:hint="eastAsia"/>
          <w:sz w:val="24"/>
        </w:rPr>
        <w:t>“</w:t>
      </w:r>
      <w:r>
        <w:rPr>
          <w:sz w:val="24"/>
        </w:rPr>
        <w:t>观浙里繁荣，延良渚遗风”</w:t>
      </w:r>
      <w:r>
        <w:rPr>
          <w:rFonts w:hint="eastAsia"/>
          <w:sz w:val="24"/>
        </w:rPr>
        <w:t>，中国农业大学的这七名来自浙江的学生</w:t>
      </w:r>
      <w:r>
        <w:rPr>
          <w:sz w:val="24"/>
        </w:rPr>
        <w:t>，</w:t>
      </w:r>
      <w:r>
        <w:rPr>
          <w:rFonts w:hint="eastAsia"/>
          <w:sz w:val="24"/>
        </w:rPr>
        <w:t>正在</w:t>
      </w:r>
      <w:r>
        <w:rPr>
          <w:sz w:val="24"/>
        </w:rPr>
        <w:t>以中国大地为课堂，积极以青年视角见证家乡发展变迁，</w:t>
      </w:r>
      <w:r>
        <w:rPr>
          <w:rFonts w:hint="eastAsia"/>
          <w:sz w:val="24"/>
        </w:rPr>
        <w:t>努力</w:t>
      </w:r>
      <w:r>
        <w:rPr>
          <w:sz w:val="24"/>
        </w:rPr>
        <w:t>作为代言人传播家乡特色</w:t>
      </w:r>
      <w:r>
        <w:rPr>
          <w:rFonts w:hint="eastAsia"/>
          <w:sz w:val="24"/>
        </w:rPr>
        <w:t>，用青春奏响时代的昂扬乐章。</w:t>
      </w:r>
    </w:p>
    <w:sectPr>
      <w:type w:val="continuous"/>
      <w:pgSz w:w="11906" w:h="16838"/>
      <w:pgMar w:top="1440" w:right="1800" w:bottom="1440" w:left="1800"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yNGRmNmM5MGNhZjQwYjU0YjhmZTdmODQ4M2JhZjQifQ=="/>
  </w:docVars>
  <w:rsids>
    <w:rsidRoot w:val="00EC2542"/>
    <w:rsid w:val="001417A2"/>
    <w:rsid w:val="00182974"/>
    <w:rsid w:val="002669BB"/>
    <w:rsid w:val="002959B0"/>
    <w:rsid w:val="002C3E80"/>
    <w:rsid w:val="00361640"/>
    <w:rsid w:val="00366AEE"/>
    <w:rsid w:val="00435CEE"/>
    <w:rsid w:val="004910BC"/>
    <w:rsid w:val="00553521"/>
    <w:rsid w:val="005E36E1"/>
    <w:rsid w:val="005F1633"/>
    <w:rsid w:val="00722498"/>
    <w:rsid w:val="007558D8"/>
    <w:rsid w:val="007F33CC"/>
    <w:rsid w:val="00835D26"/>
    <w:rsid w:val="00886EFF"/>
    <w:rsid w:val="008B23A6"/>
    <w:rsid w:val="00906851"/>
    <w:rsid w:val="00946493"/>
    <w:rsid w:val="009843F8"/>
    <w:rsid w:val="00A24E25"/>
    <w:rsid w:val="00A36B5C"/>
    <w:rsid w:val="00AE7FED"/>
    <w:rsid w:val="00B5007E"/>
    <w:rsid w:val="00B91CA3"/>
    <w:rsid w:val="00C25248"/>
    <w:rsid w:val="00CB79CD"/>
    <w:rsid w:val="00CE4B45"/>
    <w:rsid w:val="00D03232"/>
    <w:rsid w:val="00D46A3D"/>
    <w:rsid w:val="00D62DC3"/>
    <w:rsid w:val="00DB23AE"/>
    <w:rsid w:val="00DD0799"/>
    <w:rsid w:val="00E232F5"/>
    <w:rsid w:val="00EC2542"/>
    <w:rsid w:val="4EDE0E0A"/>
    <w:rsid w:val="6C5F20EA"/>
    <w:rsid w:val="C34E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120"/>
    </w:pPr>
    <w:rPr>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811</Words>
  <Characters>813</Characters>
  <Lines>5</Lines>
  <Paragraphs>1</Paragraphs>
  <TotalTime>0</TotalTime>
  <ScaleCrop>false</ScaleCrop>
  <LinksUpToDate>false</LinksUpToDate>
  <CharactersWithSpaces>823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2022-11-16T11:47:00Z</dcterms:created>
  <dc:creator>王璐瑶</dc:creator>
  <cp:lastModifiedBy>Administrator</cp:lastModifiedBy>
  <dcterms:modified xsi:type="dcterms:W3CDTF">2023-06-02T09:28:32Z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f1170ce6400f4dc14a0456b719e90681928f52e08b765116521bb3c59e774315</vt:lpwstr>
  </property>
  <property fmtid="{D5CDD505-2E9C-101B-9397-08002B2CF9AE}" pid="3" name="KSOProductBuildVer">
    <vt:lpwstr>2052-11.1.0.14309</vt:lpwstr>
  </property>
  <property fmtid="{D5CDD505-2E9C-101B-9397-08002B2CF9AE}" pid="4" name="ICV">
    <vt:lpwstr>5ED678249002467FB80A77646B45D73F_43</vt:lpwstr>
  </property>
</Properties>
</file>